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horzAnchor="margin" w:tblpY="690"/>
        <w:tblW w:w="15480" w:type="dxa"/>
        <w:tblLook w:val="04A0" w:firstRow="1" w:lastRow="0" w:firstColumn="1" w:lastColumn="0" w:noHBand="0" w:noVBand="1"/>
      </w:tblPr>
      <w:tblGrid>
        <w:gridCol w:w="1104"/>
        <w:gridCol w:w="3176"/>
        <w:gridCol w:w="5600"/>
        <w:gridCol w:w="5600"/>
      </w:tblGrid>
      <w:tr w:rsidR="00D93746" w:rsidRPr="00B51A7F" w:rsidTr="00D93746">
        <w:trPr>
          <w:trHeight w:val="57"/>
        </w:trPr>
        <w:tc>
          <w:tcPr>
            <w:tcW w:w="4280" w:type="dxa"/>
            <w:gridSpan w:val="2"/>
            <w:shd w:val="clear" w:color="auto" w:fill="8496B0" w:themeFill="text2" w:themeFillTint="99"/>
            <w:vAlign w:val="center"/>
          </w:tcPr>
          <w:p w:rsidR="00B51A7F" w:rsidRPr="00B51A7F" w:rsidRDefault="00B51A7F" w:rsidP="00D93746">
            <w:pPr>
              <w:pStyle w:val="Pa11"/>
              <w:spacing w:line="240" w:lineRule="auto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DOMAINES</w:t>
            </w:r>
          </w:p>
        </w:tc>
        <w:tc>
          <w:tcPr>
            <w:tcW w:w="5600" w:type="dxa"/>
            <w:shd w:val="clear" w:color="auto" w:fill="8496B0" w:themeFill="text2" w:themeFillTint="99"/>
            <w:vAlign w:val="center"/>
          </w:tcPr>
          <w:p w:rsidR="00B51A7F" w:rsidRPr="00B51A7F" w:rsidRDefault="00B51A7F" w:rsidP="00D93746">
            <w:pPr>
              <w:pStyle w:val="Pa11"/>
              <w:spacing w:line="240" w:lineRule="auto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ELEMENTS SIGNIFIANTS - CYCLE 3</w:t>
            </w:r>
          </w:p>
          <w:p w:rsidR="00B51A7F" w:rsidRPr="00B51A7F" w:rsidRDefault="00B51A7F" w:rsidP="00D93746">
            <w:pPr>
              <w:pStyle w:val="Pa11"/>
              <w:spacing w:line="240" w:lineRule="auto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color w:val="222A35" w:themeColor="text2" w:themeShade="80"/>
                <w:sz w:val="16"/>
                <w:szCs w:val="16"/>
              </w:rPr>
              <w:t>(</w:t>
            </w:r>
            <w:proofErr w:type="gramStart"/>
            <w:r w:rsidRPr="00B51A7F">
              <w:rPr>
                <w:rFonts w:asciiTheme="minorHAnsi" w:hAnsiTheme="minorHAnsi" w:cstheme="minorHAnsi"/>
                <w:color w:val="222A35" w:themeColor="text2" w:themeShade="80"/>
                <w:sz w:val="16"/>
                <w:szCs w:val="16"/>
              </w:rPr>
              <w:t>issus</w:t>
            </w:r>
            <w:proofErr w:type="gramEnd"/>
            <w:r w:rsidRPr="00B51A7F">
              <w:rPr>
                <w:rFonts w:asciiTheme="minorHAnsi" w:hAnsiTheme="minorHAnsi" w:cstheme="minorHAnsi"/>
                <w:color w:val="222A35" w:themeColor="text2" w:themeShade="80"/>
                <w:sz w:val="16"/>
                <w:szCs w:val="16"/>
              </w:rPr>
              <w:t xml:space="preserve"> des documents ressources DEGSCO)</w:t>
            </w:r>
          </w:p>
        </w:tc>
        <w:tc>
          <w:tcPr>
            <w:tcW w:w="5600" w:type="dxa"/>
            <w:shd w:val="clear" w:color="auto" w:fill="8496B0" w:themeFill="text2" w:themeFillTint="99"/>
            <w:vAlign w:val="center"/>
          </w:tcPr>
          <w:p w:rsidR="00B51A7F" w:rsidRPr="00B51A7F" w:rsidRDefault="00B51A7F" w:rsidP="00D93746">
            <w:pPr>
              <w:pStyle w:val="Pa11"/>
              <w:spacing w:line="240" w:lineRule="auto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ELEMENTS SIGNIFIANTS – CYCLE 4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color w:val="222A35" w:themeColor="text2" w:themeShade="80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color w:val="222A35" w:themeColor="text2" w:themeShade="80"/>
                <w:sz w:val="16"/>
                <w:szCs w:val="16"/>
              </w:rPr>
              <w:t>(</w:t>
            </w:r>
            <w:proofErr w:type="gramStart"/>
            <w:r w:rsidRPr="00B51A7F">
              <w:rPr>
                <w:rFonts w:asciiTheme="minorHAnsi" w:hAnsiTheme="minorHAnsi" w:cstheme="minorHAnsi"/>
                <w:color w:val="222A35" w:themeColor="text2" w:themeShade="80"/>
                <w:sz w:val="16"/>
                <w:szCs w:val="16"/>
              </w:rPr>
              <w:t>issus</w:t>
            </w:r>
            <w:proofErr w:type="gramEnd"/>
            <w:r w:rsidRPr="00B51A7F">
              <w:rPr>
                <w:rFonts w:asciiTheme="minorHAnsi" w:hAnsiTheme="minorHAnsi" w:cstheme="minorHAnsi"/>
                <w:color w:val="222A35" w:themeColor="text2" w:themeShade="80"/>
                <w:sz w:val="16"/>
                <w:szCs w:val="16"/>
              </w:rPr>
              <w:t xml:space="preserve"> des documents ressources DEGSCO)</w:t>
            </w:r>
          </w:p>
        </w:tc>
      </w:tr>
      <w:tr w:rsidR="00D93746" w:rsidRPr="00B51A7F" w:rsidTr="00D93746">
        <w:trPr>
          <w:trHeight w:val="965"/>
        </w:trPr>
        <w:tc>
          <w:tcPr>
            <w:tcW w:w="1104" w:type="dxa"/>
            <w:shd w:val="clear" w:color="auto" w:fill="92D050"/>
            <w:vAlign w:val="center"/>
          </w:tcPr>
          <w:p w:rsidR="00B51A7F" w:rsidRPr="00B51A7F" w:rsidRDefault="00B51A7F" w:rsidP="00D937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shd w:val="clear" w:color="auto" w:fill="92D050"/>
              </w:rPr>
              <w:t>D</w:t>
            </w:r>
            <w:r w:rsidRPr="00B51A7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176" w:type="dxa"/>
            <w:vAlign w:val="center"/>
          </w:tcPr>
          <w:p w:rsidR="00B51A7F" w:rsidRPr="00B51A7F" w:rsidRDefault="00B51A7F" w:rsidP="00D93746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 w:cstheme="minorHAnsi"/>
                <w:i/>
                <w:color w:val="4F6228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i/>
                <w:color w:val="4F6228"/>
                <w:sz w:val="16"/>
                <w:szCs w:val="16"/>
              </w:rPr>
              <w:t>Les langages pour penser et communiquer :</w:t>
            </w:r>
          </w:p>
          <w:p w:rsidR="00B51A7F" w:rsidRPr="00B51A7F" w:rsidRDefault="00B51A7F" w:rsidP="00D93746">
            <w:pPr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i/>
                <w:color w:val="4F6228"/>
                <w:sz w:val="16"/>
                <w:szCs w:val="16"/>
              </w:rPr>
              <w:t>Comprendre, s'exprimer en utilisant la langue française à l'oral et à l'écrit</w:t>
            </w: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600" w:type="dxa"/>
            <w:shd w:val="clear" w:color="auto" w:fill="CCFF99"/>
            <w:vAlign w:val="center"/>
          </w:tcPr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S’exprimer à l’oral 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>Comprendre des énoncés oraux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>Lire et comprendre l’écrit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Écrire 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Exploiter les ressources de la langue 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Réfléchir sur le système linguistique </w:t>
            </w:r>
          </w:p>
        </w:tc>
        <w:tc>
          <w:tcPr>
            <w:tcW w:w="5600" w:type="dxa"/>
            <w:shd w:val="clear" w:color="auto" w:fill="CCFF99"/>
            <w:vAlign w:val="center"/>
          </w:tcPr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S’exprimer à l’oral 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Comprendre des énoncés oraux 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>Lire et comprendre l’écrit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>Écrire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>Exploiter les ressources de la langue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Réfléchir sur le système linguistique </w:t>
            </w:r>
          </w:p>
        </w:tc>
      </w:tr>
      <w:tr w:rsidR="00D93746" w:rsidRPr="00B51A7F" w:rsidTr="00D93746">
        <w:trPr>
          <w:trHeight w:val="828"/>
        </w:trPr>
        <w:tc>
          <w:tcPr>
            <w:tcW w:w="1104" w:type="dxa"/>
            <w:shd w:val="clear" w:color="auto" w:fill="92D050"/>
            <w:vAlign w:val="center"/>
          </w:tcPr>
          <w:p w:rsidR="00B51A7F" w:rsidRPr="00B51A7F" w:rsidRDefault="00B51A7F" w:rsidP="00D937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D1.2</w:t>
            </w:r>
          </w:p>
        </w:tc>
        <w:tc>
          <w:tcPr>
            <w:tcW w:w="3176" w:type="dxa"/>
            <w:vAlign w:val="center"/>
          </w:tcPr>
          <w:p w:rsidR="00B51A7F" w:rsidRPr="00B51A7F" w:rsidRDefault="00B51A7F" w:rsidP="00D93746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 w:cstheme="minorHAnsi"/>
                <w:i/>
                <w:color w:val="4F6228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i/>
                <w:color w:val="4F6228"/>
                <w:sz w:val="16"/>
                <w:szCs w:val="16"/>
              </w:rPr>
              <w:t>Les langages pour penser et communiquer :</w:t>
            </w:r>
          </w:p>
          <w:p w:rsidR="00B51A7F" w:rsidRPr="00B51A7F" w:rsidRDefault="00B51A7F" w:rsidP="00D93746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 w:cstheme="minorHAnsi"/>
                <w:b/>
                <w:bCs/>
                <w:i/>
                <w:color w:val="000000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i/>
                <w:color w:val="4F6228"/>
                <w:sz w:val="16"/>
                <w:szCs w:val="16"/>
              </w:rPr>
              <w:t>Comprendre, s'exprimer en utilisant une langue étrangère et, le cas échéant, une langue régionale</w:t>
            </w:r>
          </w:p>
        </w:tc>
        <w:tc>
          <w:tcPr>
            <w:tcW w:w="5600" w:type="dxa"/>
            <w:shd w:val="clear" w:color="auto" w:fill="CCFF99"/>
            <w:vAlign w:val="center"/>
          </w:tcPr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Lire et comprendre l’écrit 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>Écrire et réagir à l’écrit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Écouter et comprendre 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>S’exprimer à l’oral en continu et en interaction</w:t>
            </w:r>
          </w:p>
        </w:tc>
        <w:tc>
          <w:tcPr>
            <w:tcW w:w="5600" w:type="dxa"/>
            <w:shd w:val="clear" w:color="auto" w:fill="CCFF99"/>
            <w:vAlign w:val="center"/>
          </w:tcPr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Lire et comprendre l’écrit 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Écrire et réagir à l’écrit 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Écouter et comprendre 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S’exprimer à l’oral en continu et en interaction </w:t>
            </w:r>
          </w:p>
        </w:tc>
      </w:tr>
      <w:tr w:rsidR="00D93746" w:rsidRPr="00B51A7F" w:rsidTr="00D93746">
        <w:trPr>
          <w:trHeight w:val="57"/>
        </w:trPr>
        <w:tc>
          <w:tcPr>
            <w:tcW w:w="1104" w:type="dxa"/>
            <w:shd w:val="clear" w:color="auto" w:fill="92D050"/>
            <w:vAlign w:val="center"/>
          </w:tcPr>
          <w:p w:rsidR="00B51A7F" w:rsidRPr="00B51A7F" w:rsidRDefault="00B51A7F" w:rsidP="00D937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D1.3</w:t>
            </w:r>
          </w:p>
        </w:tc>
        <w:tc>
          <w:tcPr>
            <w:tcW w:w="3176" w:type="dxa"/>
            <w:vAlign w:val="center"/>
          </w:tcPr>
          <w:p w:rsidR="00B51A7F" w:rsidRPr="00B51A7F" w:rsidRDefault="00B51A7F" w:rsidP="00D93746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 w:cstheme="minorHAnsi"/>
                <w:i/>
                <w:color w:val="4F6228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i/>
                <w:color w:val="4F6228"/>
                <w:sz w:val="16"/>
                <w:szCs w:val="16"/>
              </w:rPr>
              <w:t>Les langages pour penser et communiquer :</w:t>
            </w:r>
          </w:p>
          <w:p w:rsidR="00B51A7F" w:rsidRPr="00B51A7F" w:rsidRDefault="00B51A7F" w:rsidP="00D93746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 w:cstheme="minorHAnsi"/>
                <w:b/>
                <w:bCs/>
                <w:i/>
                <w:color w:val="000000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i/>
                <w:color w:val="4F6228"/>
                <w:sz w:val="16"/>
                <w:szCs w:val="16"/>
              </w:rPr>
              <w:t>Comprendre, s'exprimer en utilisant les langages mathématiques, scientifiques et informatiques</w:t>
            </w:r>
          </w:p>
        </w:tc>
        <w:tc>
          <w:tcPr>
            <w:tcW w:w="5600" w:type="dxa"/>
            <w:shd w:val="clear" w:color="auto" w:fill="CCFF99"/>
            <w:vAlign w:val="center"/>
          </w:tcPr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Utiliser les nombres entiers, les nombres décimaux et les fractions simples 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>Reconnaitre des solides usuels et des figures géométriques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>Se repérer et se déplacer</w:t>
            </w:r>
          </w:p>
        </w:tc>
        <w:tc>
          <w:tcPr>
            <w:tcW w:w="5600" w:type="dxa"/>
            <w:shd w:val="clear" w:color="auto" w:fill="CCFF99"/>
            <w:vAlign w:val="center"/>
          </w:tcPr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Utiliser les nombres 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Utiliser le calcul littéral 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Exprimer une grandeur mesurée ou calculée dans une unité adaptée 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Passer d’un langage à un autre 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Utiliser le langage des probabilités 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Utiliser et produire des représentations d’objets 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Utiliser l’algorithmique et la programmation pour créer des applications simples </w:t>
            </w:r>
          </w:p>
        </w:tc>
      </w:tr>
      <w:tr w:rsidR="00B51A7F" w:rsidRPr="00B51A7F" w:rsidTr="00D93746">
        <w:trPr>
          <w:trHeight w:val="57"/>
        </w:trPr>
        <w:tc>
          <w:tcPr>
            <w:tcW w:w="1104" w:type="dxa"/>
            <w:shd w:val="clear" w:color="auto" w:fill="92D050"/>
            <w:vAlign w:val="center"/>
          </w:tcPr>
          <w:p w:rsidR="00B51A7F" w:rsidRPr="00B51A7F" w:rsidRDefault="00B51A7F" w:rsidP="00D93746">
            <w:pPr>
              <w:pStyle w:val="Pa11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D1.4</w:t>
            </w:r>
          </w:p>
        </w:tc>
        <w:tc>
          <w:tcPr>
            <w:tcW w:w="3176" w:type="dxa"/>
            <w:vAlign w:val="center"/>
          </w:tcPr>
          <w:p w:rsidR="00B51A7F" w:rsidRPr="00B51A7F" w:rsidRDefault="00B51A7F" w:rsidP="00D93746">
            <w:pPr>
              <w:pStyle w:val="Pa11"/>
              <w:spacing w:line="240" w:lineRule="auto"/>
              <w:ind w:left="34"/>
              <w:rPr>
                <w:rFonts w:asciiTheme="minorHAnsi" w:hAnsiTheme="minorHAnsi" w:cstheme="minorHAnsi"/>
                <w:i/>
                <w:color w:val="525252" w:themeColor="accent3" w:themeShade="80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i/>
                <w:color w:val="525252" w:themeColor="accent3" w:themeShade="80"/>
                <w:sz w:val="16"/>
                <w:szCs w:val="16"/>
              </w:rPr>
              <w:t>Les langages pour penser et communiquer :</w:t>
            </w:r>
          </w:p>
          <w:p w:rsidR="00B51A7F" w:rsidRPr="00B51A7F" w:rsidRDefault="00B51A7F" w:rsidP="00D93746">
            <w:pPr>
              <w:pStyle w:val="Pa11"/>
              <w:spacing w:line="240" w:lineRule="auto"/>
              <w:ind w:left="34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i/>
                <w:color w:val="525252" w:themeColor="accent3" w:themeShade="80"/>
                <w:sz w:val="16"/>
                <w:szCs w:val="16"/>
              </w:rPr>
              <w:t>Comprendre, s'exprimer en utilisant les langages des arts et du corps</w:t>
            </w:r>
          </w:p>
        </w:tc>
        <w:tc>
          <w:tcPr>
            <w:tcW w:w="5600" w:type="dxa"/>
            <w:shd w:val="clear" w:color="auto" w:fill="CCFF99"/>
            <w:vAlign w:val="center"/>
          </w:tcPr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S’exprimer par des activités physiques sportives ou artistiques 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Pratiquer les arts en mobilisant divers langages artistiques et leurs ressources expressives 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Prendre du recul sur la pratique artistique individuelle et collective </w:t>
            </w:r>
          </w:p>
        </w:tc>
        <w:tc>
          <w:tcPr>
            <w:tcW w:w="5600" w:type="dxa"/>
            <w:shd w:val="clear" w:color="auto" w:fill="CCFF99"/>
            <w:vAlign w:val="center"/>
          </w:tcPr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Pratiquer des activités physiques sportives et artistiques 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Pratiquer les arts en mobilisant divers langages artistiques et leurs ressources expressives 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Prendre du recul sur la pratique artistique individuelle et collective </w:t>
            </w:r>
          </w:p>
        </w:tc>
      </w:tr>
      <w:tr w:rsidR="00B51A7F" w:rsidRPr="00B51A7F" w:rsidTr="00D93746">
        <w:trPr>
          <w:trHeight w:val="57"/>
        </w:trPr>
        <w:tc>
          <w:tcPr>
            <w:tcW w:w="1104" w:type="dxa"/>
            <w:shd w:val="clear" w:color="auto" w:fill="9CC2E5" w:themeFill="accent5" w:themeFillTint="99"/>
            <w:vAlign w:val="center"/>
          </w:tcPr>
          <w:p w:rsidR="00B51A7F" w:rsidRPr="00B51A7F" w:rsidRDefault="00B51A7F" w:rsidP="00D93746">
            <w:pPr>
              <w:pStyle w:val="Pa11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D2</w:t>
            </w:r>
          </w:p>
        </w:tc>
        <w:tc>
          <w:tcPr>
            <w:tcW w:w="3176" w:type="dxa"/>
            <w:shd w:val="clear" w:color="auto" w:fill="FFFFFF" w:themeFill="background1"/>
            <w:vAlign w:val="center"/>
          </w:tcPr>
          <w:p w:rsidR="00B51A7F" w:rsidRPr="00B51A7F" w:rsidRDefault="00B51A7F" w:rsidP="00D93746">
            <w:pPr>
              <w:pStyle w:val="Pa11"/>
              <w:spacing w:line="240" w:lineRule="auto"/>
              <w:ind w:left="34"/>
              <w:rPr>
                <w:rFonts w:asciiTheme="minorHAnsi" w:hAnsiTheme="minorHAnsi" w:cstheme="minorHAnsi"/>
                <w:b/>
                <w:bCs/>
                <w:i/>
                <w:color w:val="2E74B5" w:themeColor="accent5" w:themeShade="BF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i/>
                <w:color w:val="2E74B5" w:themeColor="accent5" w:themeShade="BF"/>
                <w:sz w:val="16"/>
                <w:szCs w:val="16"/>
              </w:rPr>
              <w:t>Les méthodes et outils pour apprendre</w:t>
            </w:r>
          </w:p>
        </w:tc>
        <w:tc>
          <w:tcPr>
            <w:tcW w:w="5600" w:type="dxa"/>
            <w:shd w:val="clear" w:color="auto" w:fill="DEEAF6" w:themeFill="accent5" w:themeFillTint="33"/>
            <w:vAlign w:val="center"/>
          </w:tcPr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>Se constituer des outils de travail personnel et mettre en place des stratégies pour comprendre et apprendre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>Coopérer et réaliser des projets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Rechercher et trier l’information et s’initier aux langages des médias 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Mobiliser des outils numériques pour apprendre, échanger, communiquer  </w:t>
            </w:r>
          </w:p>
        </w:tc>
        <w:tc>
          <w:tcPr>
            <w:tcW w:w="5600" w:type="dxa"/>
            <w:shd w:val="clear" w:color="auto" w:fill="DEEAF6" w:themeFill="accent5" w:themeFillTint="33"/>
            <w:vAlign w:val="center"/>
          </w:tcPr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Organiser son travail personnel 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Coopérer et réaliser des projets 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Rechercher et traiter l’information et s’initier aux langages des médias 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Mobiliser des outils numériques pour apprendre, échanger, communiquer 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51A7F" w:rsidRPr="00B51A7F" w:rsidTr="00D93746">
        <w:trPr>
          <w:trHeight w:val="57"/>
        </w:trPr>
        <w:tc>
          <w:tcPr>
            <w:tcW w:w="1104" w:type="dxa"/>
            <w:shd w:val="clear" w:color="auto" w:fill="FBE4D5" w:themeFill="accent2" w:themeFillTint="33"/>
            <w:vAlign w:val="center"/>
          </w:tcPr>
          <w:p w:rsidR="00B51A7F" w:rsidRPr="00B51A7F" w:rsidRDefault="00B51A7F" w:rsidP="00D93746">
            <w:pPr>
              <w:pStyle w:val="Pa11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D3</w:t>
            </w:r>
          </w:p>
        </w:tc>
        <w:tc>
          <w:tcPr>
            <w:tcW w:w="3176" w:type="dxa"/>
            <w:vAlign w:val="center"/>
          </w:tcPr>
          <w:p w:rsidR="00B51A7F" w:rsidRPr="00B51A7F" w:rsidRDefault="00B51A7F" w:rsidP="00D93746">
            <w:pPr>
              <w:pStyle w:val="Pa11"/>
              <w:spacing w:line="240" w:lineRule="auto"/>
              <w:ind w:left="34"/>
              <w:rPr>
                <w:rFonts w:asciiTheme="minorHAnsi" w:hAnsiTheme="minorHAnsi" w:cstheme="minorHAnsi"/>
                <w:b/>
                <w:bCs/>
                <w:i/>
                <w:color w:val="833C0B" w:themeColor="accent2" w:themeShade="80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i/>
                <w:color w:val="833C0B" w:themeColor="accent2" w:themeShade="80"/>
                <w:sz w:val="16"/>
                <w:szCs w:val="16"/>
              </w:rPr>
              <w:t>La formation de la personne et du citoyen</w:t>
            </w:r>
          </w:p>
        </w:tc>
        <w:tc>
          <w:tcPr>
            <w:tcW w:w="5600" w:type="dxa"/>
            <w:shd w:val="clear" w:color="auto" w:fill="FBE4D5" w:themeFill="accent2" w:themeFillTint="33"/>
            <w:vAlign w:val="center"/>
          </w:tcPr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Maîtriser l’expression de sa sensibilité et de ses opinions, respecter celles des autres 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Comprendre la règle et le droit 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>Exercer son esprit critique, faire preuve de réflexion et de discernement</w:t>
            </w:r>
          </w:p>
        </w:tc>
        <w:tc>
          <w:tcPr>
            <w:tcW w:w="5600" w:type="dxa"/>
            <w:shd w:val="clear" w:color="auto" w:fill="FBE4D5" w:themeFill="accent2" w:themeFillTint="33"/>
            <w:vAlign w:val="center"/>
          </w:tcPr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Maîtriser l’expression de sa sensibilité et de ses opinions, respecter celles des autres 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Connaître et comprendre la règle et le droit 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>Exercer son esprit critique, faire preuve de réflexion et de discernement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Faire preuve de responsabilité, respecter les règles de la vie collective, s’engager et prendre des initiatives </w:t>
            </w:r>
          </w:p>
        </w:tc>
      </w:tr>
      <w:tr w:rsidR="00B51A7F" w:rsidRPr="00B51A7F" w:rsidTr="00D93746">
        <w:trPr>
          <w:trHeight w:val="57"/>
        </w:trPr>
        <w:tc>
          <w:tcPr>
            <w:tcW w:w="1104" w:type="dxa"/>
            <w:shd w:val="clear" w:color="auto" w:fill="ACB9CA" w:themeFill="text2" w:themeFillTint="66"/>
            <w:vAlign w:val="center"/>
          </w:tcPr>
          <w:p w:rsidR="00B51A7F" w:rsidRPr="00B51A7F" w:rsidRDefault="00B51A7F" w:rsidP="00D93746">
            <w:pPr>
              <w:pStyle w:val="Pa11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D4</w:t>
            </w:r>
          </w:p>
        </w:tc>
        <w:tc>
          <w:tcPr>
            <w:tcW w:w="3176" w:type="dxa"/>
            <w:vAlign w:val="center"/>
          </w:tcPr>
          <w:p w:rsidR="00B51A7F" w:rsidRPr="00B51A7F" w:rsidRDefault="00B51A7F" w:rsidP="00D93746">
            <w:pPr>
              <w:pStyle w:val="Pa11"/>
              <w:spacing w:line="240" w:lineRule="auto"/>
              <w:ind w:left="34"/>
              <w:rPr>
                <w:rFonts w:asciiTheme="minorHAnsi" w:hAnsiTheme="minorHAnsi" w:cstheme="minorHAnsi"/>
                <w:b/>
                <w:bCs/>
                <w:i/>
                <w:color w:val="8496B0" w:themeColor="text2" w:themeTint="99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i/>
                <w:color w:val="8496B0" w:themeColor="text2" w:themeTint="99"/>
                <w:sz w:val="16"/>
                <w:szCs w:val="16"/>
              </w:rPr>
              <w:t>Les systèmes naturels et les systèmes techniques</w:t>
            </w:r>
          </w:p>
        </w:tc>
        <w:tc>
          <w:tcPr>
            <w:tcW w:w="5600" w:type="dxa"/>
            <w:shd w:val="clear" w:color="auto" w:fill="D5DCE4" w:themeFill="text2" w:themeFillTint="33"/>
            <w:vAlign w:val="center"/>
          </w:tcPr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Mener une démarche scientifique ou technologique, résoudre des problèmes simples 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Mettre en pratique des comportements simples respectueux des autres, de l’environnement, de sa santé </w:t>
            </w:r>
          </w:p>
        </w:tc>
        <w:tc>
          <w:tcPr>
            <w:tcW w:w="5600" w:type="dxa"/>
            <w:shd w:val="clear" w:color="auto" w:fill="D5DCE4" w:themeFill="text2" w:themeFillTint="33"/>
            <w:vAlign w:val="center"/>
          </w:tcPr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Mener une démarche scientifique, résoudre un problème 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Concevoir des objets et systèmes techniques 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Identifier des règles et des principes de responsabilité individuelle et collective dans les domaines de la santé, de la sécurité, de l’environnement </w:t>
            </w:r>
          </w:p>
        </w:tc>
      </w:tr>
      <w:tr w:rsidR="00B51A7F" w:rsidRPr="00B51A7F" w:rsidTr="00D93746">
        <w:trPr>
          <w:trHeight w:val="57"/>
        </w:trPr>
        <w:tc>
          <w:tcPr>
            <w:tcW w:w="1104" w:type="dxa"/>
            <w:shd w:val="clear" w:color="auto" w:fill="FFFF2D"/>
            <w:vAlign w:val="center"/>
          </w:tcPr>
          <w:p w:rsidR="00B51A7F" w:rsidRPr="00B51A7F" w:rsidRDefault="00B51A7F" w:rsidP="00D93746">
            <w:pPr>
              <w:pStyle w:val="Pa11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D5</w:t>
            </w:r>
          </w:p>
        </w:tc>
        <w:tc>
          <w:tcPr>
            <w:tcW w:w="3176" w:type="dxa"/>
            <w:vAlign w:val="center"/>
          </w:tcPr>
          <w:p w:rsidR="00B51A7F" w:rsidRPr="00B51A7F" w:rsidRDefault="00B51A7F" w:rsidP="00D93746">
            <w:pPr>
              <w:pStyle w:val="Pa11"/>
              <w:spacing w:line="240" w:lineRule="auto"/>
              <w:ind w:left="34"/>
              <w:rPr>
                <w:rFonts w:asciiTheme="minorHAnsi" w:hAnsiTheme="minorHAnsi" w:cstheme="minorHAnsi"/>
                <w:b/>
                <w:bCs/>
                <w:i/>
                <w:color w:val="FFC000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i/>
                <w:color w:val="FFC000"/>
                <w:sz w:val="16"/>
                <w:szCs w:val="16"/>
              </w:rPr>
              <w:t>Les représentations du monde et l'activité humaine</w:t>
            </w:r>
          </w:p>
        </w:tc>
        <w:tc>
          <w:tcPr>
            <w:tcW w:w="5600" w:type="dxa"/>
            <w:shd w:val="clear" w:color="auto" w:fill="F7FF89"/>
            <w:vAlign w:val="center"/>
          </w:tcPr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Situer et se situer dans le temps et l’espace 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Analyser et comprendre les organisations humaines et les représentations du monde 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Raisonner, imaginer, élaborer, produire </w:t>
            </w:r>
          </w:p>
        </w:tc>
        <w:tc>
          <w:tcPr>
            <w:tcW w:w="5600" w:type="dxa"/>
            <w:shd w:val="clear" w:color="auto" w:fill="F7FF89"/>
            <w:vAlign w:val="center"/>
          </w:tcPr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/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Situer et se situer dans le temps et l’espace 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Analyser et comprendre les organisations humaines et les représentations du monde </w:t>
            </w:r>
          </w:p>
          <w:p w:rsidR="00B51A7F" w:rsidRPr="00B51A7F" w:rsidRDefault="00B51A7F" w:rsidP="00D937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1A7F">
              <w:rPr>
                <w:rFonts w:asciiTheme="minorHAnsi" w:hAnsiTheme="minorHAnsi" w:cstheme="minorHAnsi"/>
                <w:sz w:val="16"/>
                <w:szCs w:val="16"/>
              </w:rPr>
              <w:t xml:space="preserve">Raisonner, imaginer, élaborer, produire </w:t>
            </w:r>
            <w:bookmarkEnd w:id="0"/>
          </w:p>
        </w:tc>
      </w:tr>
    </w:tbl>
    <w:p w:rsidR="00B51A7F" w:rsidRPr="00D93746" w:rsidRDefault="00D93746">
      <w:pPr>
        <w:rPr>
          <w:b/>
          <w:i/>
        </w:rPr>
      </w:pPr>
      <w:r w:rsidRPr="00D93746">
        <w:rPr>
          <w:b/>
          <w:i/>
        </w:rPr>
        <w:t>Diagnostic des élèves au regard des domaines du socle</w:t>
      </w:r>
    </w:p>
    <w:sectPr w:rsidR="00B51A7F" w:rsidRPr="00D93746" w:rsidSect="00B51A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5E9" w:rsidRDefault="009665E9" w:rsidP="00D93746">
      <w:pPr>
        <w:spacing w:after="0" w:line="240" w:lineRule="auto"/>
      </w:pPr>
      <w:r>
        <w:separator/>
      </w:r>
    </w:p>
  </w:endnote>
  <w:endnote w:type="continuationSeparator" w:id="0">
    <w:p w:rsidR="009665E9" w:rsidRDefault="009665E9" w:rsidP="00D93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NPro-Bold">
    <w:altName w:val="Calibri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5E9" w:rsidRDefault="009665E9" w:rsidP="00D93746">
      <w:pPr>
        <w:spacing w:after="0" w:line="240" w:lineRule="auto"/>
      </w:pPr>
      <w:r>
        <w:separator/>
      </w:r>
    </w:p>
  </w:footnote>
  <w:footnote w:type="continuationSeparator" w:id="0">
    <w:p w:rsidR="009665E9" w:rsidRDefault="009665E9" w:rsidP="00D93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7F"/>
    <w:rsid w:val="00111B41"/>
    <w:rsid w:val="002678C4"/>
    <w:rsid w:val="009665E9"/>
    <w:rsid w:val="00A25DF8"/>
    <w:rsid w:val="00B51A7F"/>
    <w:rsid w:val="00B65DA5"/>
    <w:rsid w:val="00D93746"/>
    <w:rsid w:val="00E8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CDB1"/>
  <w15:chartTrackingRefBased/>
  <w15:docId w15:val="{D89EEBE2-D6CB-4F9E-A9A2-48BFA2DE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1A7F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1">
    <w:name w:val="Pa11"/>
    <w:basedOn w:val="Normal"/>
    <w:next w:val="Normal"/>
    <w:uiPriority w:val="99"/>
    <w:rsid w:val="00B51A7F"/>
    <w:pPr>
      <w:autoSpaceDE w:val="0"/>
      <w:autoSpaceDN w:val="0"/>
      <w:adjustRightInd w:val="0"/>
      <w:spacing w:after="0" w:line="161" w:lineRule="atLeast"/>
    </w:pPr>
    <w:rPr>
      <w:rFonts w:ascii="DINPro-Bold" w:eastAsia="Calibri" w:hAnsi="DINPro-Bold" w:cs="SimSu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93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3746"/>
  </w:style>
  <w:style w:type="paragraph" w:styleId="Pieddepage">
    <w:name w:val="footer"/>
    <w:basedOn w:val="Normal"/>
    <w:link w:val="PieddepageCar"/>
    <w:uiPriority w:val="99"/>
    <w:unhideWhenUsed/>
    <w:rsid w:val="00D93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3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654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Régine Battois</dc:creator>
  <cp:keywords/>
  <dc:description/>
  <cp:lastModifiedBy>Régine Battois</cp:lastModifiedBy>
  <cp:revision>3</cp:revision>
  <dcterms:created xsi:type="dcterms:W3CDTF">2021-12-15T19:34:00Z</dcterms:created>
  <dcterms:modified xsi:type="dcterms:W3CDTF">2021-12-15T20:27:00Z</dcterms:modified>
</cp:coreProperties>
</file>